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E6670" w14:textId="26ADA7FB" w:rsidR="0024603B" w:rsidRPr="00934BE9" w:rsidRDefault="0024603B" w:rsidP="00934BE9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72D76CAC" w:rsidR="0024603B" w:rsidRPr="0024603B" w:rsidRDefault="00934BE9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1104615D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762D0D">
              <w:rPr>
                <w:rFonts w:cs="Arial" w:hint="cs"/>
                <w:sz w:val="18"/>
                <w:szCs w:val="18"/>
                <w:rtl/>
                <w:lang w:eastAsia="ar"/>
              </w:rPr>
              <w:t>المذكرة الخاصة 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20B2680A" w:rsidR="0024603B" w:rsidRPr="0024603B" w:rsidRDefault="0024603B" w:rsidP="00762D0D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762D0D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762D0D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609EB1E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762D0D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762D0D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النهائي/الجهات المعنية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57394513" w14:textId="77777777" w:rsidR="0024603B" w:rsidRPr="0024603B" w:rsidRDefault="0024603B" w:rsidP="0024603B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p w14:paraId="4B1BC012" w14:textId="77777777" w:rsidR="0024603B" w:rsidRPr="0024603B" w:rsidRDefault="0024603B" w:rsidP="0024603B">
      <w:pPr>
        <w:bidi/>
      </w:pP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6E2C80F0" w:rsidR="0024603B" w:rsidRPr="0024603B" w:rsidRDefault="00B81B07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81B0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7A6BF0C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F237FB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F237FB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تفقّد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1230AA9D" w:rsidR="0024603B" w:rsidRPr="0024603B" w:rsidRDefault="00F237FB" w:rsidP="00F237F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الإنذار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ات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المنبثقة لنظام إدارة المباني (</w:t>
            </w:r>
            <w:r w:rsidR="0024603B"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النهائي/الجهات المعنية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67EFAF5C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p w14:paraId="71275547" w14:textId="77777777" w:rsidR="0024603B" w:rsidRPr="0024603B" w:rsidRDefault="0024603B" w:rsidP="0024603B">
      <w:pPr>
        <w:bidi/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48F13994" w:rsidR="0024603B" w:rsidRPr="0024603B" w:rsidRDefault="001063C4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063C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151D218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44A2827F" w:rsidR="0024603B" w:rsidRPr="0024603B" w:rsidRDefault="0024603B" w:rsidP="0053317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040562A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4579229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</w:t>
            </w:r>
            <w:r w:rsidR="0053317E">
              <w:rPr>
                <w:rFonts w:cs="Arial"/>
                <w:sz w:val="18"/>
                <w:szCs w:val="18"/>
                <w:rtl/>
                <w:lang w:eastAsia="ar"/>
              </w:rPr>
              <w:t xml:space="preserve"> مالك النظام/المدير/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="0053317E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53317E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في أثناء تشغيل السخّان للتأكد من عمل سخان مياه الدثار (إن كان موجودًا) و/أو سخان زيت التشحيم (إن كان موجودًا)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بطريقة النافذة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بمساعدة الحاسوب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النهائي/الجهات المعنية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642106A7" w:rsidR="0024603B" w:rsidRPr="0024603B" w:rsidRDefault="00413530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DC36DB8" w14:textId="4F169640" w:rsidR="0024603B" w:rsidRPr="0024603B" w:rsidRDefault="0024603B" w:rsidP="0024603B">
      <w:pPr>
        <w:bidi/>
      </w:pPr>
    </w:p>
    <w:p w14:paraId="6D54FF03" w14:textId="77777777" w:rsidR="0024603B" w:rsidRPr="0024603B" w:rsidRDefault="0024603B" w:rsidP="0024603B">
      <w:pPr>
        <w:bidi/>
      </w:pPr>
    </w:p>
    <w:p w14:paraId="70C807C1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t xml:space="preserve">أنظمة الحماية من الحرائق </w:t>
      </w:r>
    </w:p>
    <w:p w14:paraId="44DE6615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518569E5" w:rsidR="0024603B" w:rsidRPr="0024603B" w:rsidRDefault="00E76C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76C7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تقييم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39ED0FB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E76C78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E76C78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بمساعدة الحاسوب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332410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النهائي/الجهات المعنية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121F3026" w:rsidR="0024603B" w:rsidRPr="0024603B" w:rsidRDefault="00413530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  <w:rPr>
          <w:rFonts w:hint="cs"/>
        </w:rPr>
      </w:pPr>
    </w:p>
    <w:p w14:paraId="57565584" w14:textId="46D9238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261B91DB" w14:textId="77777777" w:rsidR="0024603B" w:rsidRPr="0024603B" w:rsidRDefault="0024603B" w:rsidP="0024603B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p w14:paraId="0AB748E4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4DF09B67" w:rsidR="0024603B" w:rsidRPr="0024603B" w:rsidRDefault="00E76C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76C7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11B3BFDB" w:rsidR="0024603B" w:rsidRPr="0024603B" w:rsidRDefault="00B26AFF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>مذكرة ت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قييم المخاطر 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04CECE4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E76C78">
              <w:rPr>
                <w:rFonts w:cs="Arial" w:hint="cs"/>
                <w:sz w:val="18"/>
                <w:szCs w:val="18"/>
                <w:rtl/>
                <w:lang w:eastAsia="ar"/>
              </w:rPr>
              <w:t>ال</w:t>
            </w:r>
            <w:r w:rsidR="00E76C78">
              <w:rPr>
                <w:rFonts w:cs="Arial"/>
                <w:sz w:val="18"/>
                <w:szCs w:val="18"/>
                <w:rtl/>
                <w:lang w:eastAsia="ar"/>
              </w:rPr>
              <w:t>فريق الهندس</w:t>
            </w:r>
            <w:r w:rsidR="00E76C78">
              <w:rPr>
                <w:rFonts w:cs="Arial" w:hint="cs"/>
                <w:sz w:val="18"/>
                <w:szCs w:val="18"/>
                <w:rtl/>
                <w:lang w:eastAsia="ar"/>
              </w:rPr>
              <w:t>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6CEEACB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984652F" w14:textId="77777777" w:rsidR="0024603B" w:rsidRPr="0024603B" w:rsidRDefault="0024603B" w:rsidP="0024603B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p w14:paraId="372A5F37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مرفق الرعاية الصحية: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47E8FA0A" w:rsidR="0024603B" w:rsidRPr="0024603B" w:rsidRDefault="00B26AFF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مذكرة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تقييم المخاطر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>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309C5406" w:rsidR="0024603B" w:rsidRPr="0024603B" w:rsidRDefault="0024603B" w:rsidP="00B26AFF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B26AFF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B26AFF">
              <w:rPr>
                <w:rFonts w:cs="Arial" w:hint="cs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أنظمة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النهائي/الجهات المعنية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D3771E">
              <w:rPr>
                <w:rFonts w:cs="Arial"/>
                <w:color w:val="000000"/>
                <w:rtl/>
                <w:lang w:eastAsia="ar"/>
              </w:rPr>
            </w:r>
            <w:r w:rsidR="00D3771E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94B4" w14:textId="77777777" w:rsidR="00D3771E" w:rsidRDefault="00D3771E">
      <w:r>
        <w:separator/>
      </w:r>
    </w:p>
    <w:p w14:paraId="4688AFCE" w14:textId="77777777" w:rsidR="00D3771E" w:rsidRDefault="00D3771E"/>
  </w:endnote>
  <w:endnote w:type="continuationSeparator" w:id="0">
    <w:p w14:paraId="54F68556" w14:textId="77777777" w:rsidR="00D3771E" w:rsidRDefault="00D3771E">
      <w:r>
        <w:continuationSeparator/>
      </w:r>
    </w:p>
    <w:p w14:paraId="10660A43" w14:textId="77777777" w:rsidR="00D3771E" w:rsidRDefault="00D37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6D73" w14:textId="77777777" w:rsidR="00713F59" w:rsidRDefault="00713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7BBE57B9" w14:textId="3FDB0FDB" w:rsidR="00713F59" w:rsidRPr="006C1ABD" w:rsidRDefault="00713F59" w:rsidP="00713F5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8D1C1" wp14:editId="0963AE4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2E6B3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9B340F9649614129B1F61B4706F57F8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EOM-ZO0-TP-000004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76272A3A7DCA4A888429E8E6911CBD9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48E274D6E4124141ACEC04268C943956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0385E4D" w14:textId="70FB3218" w:rsidR="00713F59" w:rsidRPr="006C1ABD" w:rsidRDefault="00713F59" w:rsidP="00713F5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8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1D8680D3" w14:textId="3F6FFFBA" w:rsidR="00713F59" w:rsidRPr="008740FA" w:rsidRDefault="00713F59" w:rsidP="00713F59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1A7D" w14:textId="77777777" w:rsidR="00713F59" w:rsidRDefault="00713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3B0B" w14:textId="77777777" w:rsidR="00D3771E" w:rsidRDefault="00D3771E">
      <w:r>
        <w:separator/>
      </w:r>
    </w:p>
    <w:p w14:paraId="70D3D2A9" w14:textId="77777777" w:rsidR="00D3771E" w:rsidRDefault="00D3771E"/>
  </w:footnote>
  <w:footnote w:type="continuationSeparator" w:id="0">
    <w:p w14:paraId="4BCD8A28" w14:textId="77777777" w:rsidR="00D3771E" w:rsidRDefault="00D3771E">
      <w:r>
        <w:continuationSeparator/>
      </w:r>
    </w:p>
    <w:p w14:paraId="273A0948" w14:textId="77777777" w:rsidR="00D3771E" w:rsidRDefault="00D377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5D69" w14:textId="77777777" w:rsidR="00713F59" w:rsidRDefault="00713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0F90" w14:paraId="55B15A60" w14:textId="77777777" w:rsidTr="00870F90">
      <w:tc>
        <w:tcPr>
          <w:tcW w:w="6845" w:type="dxa"/>
          <w:vAlign w:val="center"/>
        </w:tcPr>
        <w:p w14:paraId="361EC67C" w14:textId="2C20DED5" w:rsidR="00870F90" w:rsidRPr="006A25F8" w:rsidRDefault="00713F59" w:rsidP="00713F59">
          <w:pPr>
            <w:pStyle w:val="CPDocTitle"/>
            <w:bidi/>
            <w:ind w:left="440"/>
            <w:jc w:val="right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                     </w:t>
          </w:r>
          <w:r w:rsidR="00870F90" w:rsidRPr="00223D44">
            <w:rPr>
              <w:kern w:val="32"/>
              <w:sz w:val="24"/>
              <w:szCs w:val="24"/>
              <w:rtl/>
              <w:lang w:eastAsia="ar"/>
            </w:rPr>
            <w:t>ق</w:t>
          </w:r>
          <w:bookmarkStart w:id="0" w:name="_GoBack"/>
          <w:bookmarkEnd w:id="0"/>
          <w:r w:rsidR="00870F90" w:rsidRPr="00223D44">
            <w:rPr>
              <w:kern w:val="32"/>
              <w:sz w:val="24"/>
              <w:szCs w:val="24"/>
              <w:rtl/>
              <w:lang w:eastAsia="ar"/>
            </w:rPr>
            <w:t xml:space="preserve">ائمة تدقيق </w:t>
          </w:r>
          <w:r w:rsidR="00934BE9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870F90" w:rsidRPr="00223D44">
            <w:rPr>
              <w:kern w:val="32"/>
              <w:sz w:val="24"/>
              <w:szCs w:val="24"/>
              <w:rtl/>
              <w:lang w:eastAsia="ar"/>
            </w:rPr>
            <w:t>إيقاف التشغيل</w:t>
          </w:r>
          <w:r w:rsidR="00934BE9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 w:rsidR="00934BE9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934BE9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870F90" w:rsidRPr="00223D44">
            <w:rPr>
              <w:kern w:val="32"/>
              <w:sz w:val="24"/>
              <w:szCs w:val="24"/>
              <w:rtl/>
              <w:lang w:eastAsia="ar"/>
            </w:rPr>
            <w:t xml:space="preserve"> قطاع الرعاية الصحية</w:t>
          </w:r>
          <w:r w:rsidR="00870F90" w:rsidRPr="00223D44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0CEB72CF" w:rsidR="009210BF" w:rsidRPr="000A35F0" w:rsidRDefault="000A35F0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FA015CA" wp14:editId="497D6BBD">
          <wp:simplePos x="0" y="0"/>
          <wp:positionH relativeFrom="page">
            <wp:align>left</wp:align>
          </wp:positionH>
          <wp:positionV relativeFrom="paragraph">
            <wp:posOffset>-639896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C9EE" w14:textId="77777777" w:rsidR="00713F59" w:rsidRDefault="0071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35F0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3C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CD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3530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17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3F59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2D0D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2AC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90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4BE9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45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45E"/>
    <w:rsid w:val="00B26AFF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B07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869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3771E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6B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6C7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4A7B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37FB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340F9649614129B1F61B4706F5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B04E-AFC5-4CA7-998E-E2C5267D668E}"/>
      </w:docPartPr>
      <w:docPartBody>
        <w:p w:rsidR="00000000" w:rsidRDefault="00B2438A" w:rsidP="00B2438A">
          <w:pPr>
            <w:pStyle w:val="9B340F9649614129B1F61B4706F57F8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76272A3A7DCA4A888429E8E6911C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4D64-E5A8-41C2-ABAD-D28DF23675FA}"/>
      </w:docPartPr>
      <w:docPartBody>
        <w:p w:rsidR="00000000" w:rsidRDefault="00B2438A" w:rsidP="00B2438A">
          <w:pPr>
            <w:pStyle w:val="76272A3A7DCA4A888429E8E6911CBD9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8E274D6E4124141ACEC04268C94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7D9-1286-41AC-85EC-6AABFCE0855E}"/>
      </w:docPartPr>
      <w:docPartBody>
        <w:p w:rsidR="00000000" w:rsidRDefault="00B2438A" w:rsidP="00B2438A">
          <w:pPr>
            <w:pStyle w:val="48E274D6E4124141ACEC04268C94395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8A"/>
    <w:rsid w:val="00A400FF"/>
    <w:rsid w:val="00B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438A"/>
    <w:rPr>
      <w:color w:val="808080"/>
    </w:rPr>
  </w:style>
  <w:style w:type="paragraph" w:customStyle="1" w:styleId="9B340F9649614129B1F61B4706F57F80">
    <w:name w:val="9B340F9649614129B1F61B4706F57F80"/>
    <w:rsid w:val="00B2438A"/>
    <w:pPr>
      <w:bidi/>
    </w:pPr>
  </w:style>
  <w:style w:type="paragraph" w:customStyle="1" w:styleId="76272A3A7DCA4A888429E8E6911CBD90">
    <w:name w:val="76272A3A7DCA4A888429E8E6911CBD90"/>
    <w:rsid w:val="00B2438A"/>
    <w:pPr>
      <w:bidi/>
    </w:pPr>
  </w:style>
  <w:style w:type="paragraph" w:customStyle="1" w:styleId="48E274D6E4124141ACEC04268C943956">
    <w:name w:val="48E274D6E4124141ACEC04268C943956"/>
    <w:rsid w:val="00B2438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DF2A1-695D-44B8-9D61-A89B7775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C2CFA-0A5D-4286-8F6C-8E674A71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48</TotalTime>
  <Pages>12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29643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EOM-ZO0-TP-000004</dc:subject>
  <dc:creator>Rivamonte, Leonnito (RMP)</dc:creator>
  <cp:keywords>ᅟ</cp:keywords>
  <cp:lastModifiedBy>الاء الزهراني Alaa Alzahrani</cp:lastModifiedBy>
  <cp:revision>60</cp:revision>
  <cp:lastPrinted>2017-10-17T10:11:00Z</cp:lastPrinted>
  <dcterms:created xsi:type="dcterms:W3CDTF">2019-12-16T06:44:00Z</dcterms:created>
  <dcterms:modified xsi:type="dcterms:W3CDTF">2022-01-30T14:14:00Z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